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5439F" w14:textId="77777777" w:rsidR="00074D92" w:rsidRDefault="00074D92" w:rsidP="003C61C0">
      <w:pPr>
        <w:rPr>
          <w:i/>
          <w:sz w:val="20"/>
          <w:lang w:val="fr-FR"/>
        </w:rPr>
      </w:pPr>
    </w:p>
    <w:p w14:paraId="0230061A" w14:textId="77777777" w:rsidR="00074D92" w:rsidRDefault="00074D92" w:rsidP="003C61C0">
      <w:pPr>
        <w:rPr>
          <w:i/>
          <w:sz w:val="20"/>
          <w:lang w:val="fr-FR"/>
        </w:rPr>
      </w:pPr>
    </w:p>
    <w:p w14:paraId="0766D709" w14:textId="77777777" w:rsidR="00074D92" w:rsidRDefault="00074D92" w:rsidP="003C61C0">
      <w:pPr>
        <w:rPr>
          <w:i/>
          <w:sz w:val="20"/>
          <w:lang w:val="fr-FR"/>
        </w:rPr>
      </w:pPr>
    </w:p>
    <w:p w14:paraId="4815C326" w14:textId="77777777" w:rsidR="003F11FC" w:rsidRDefault="003F11FC" w:rsidP="003C61C0">
      <w:pPr>
        <w:rPr>
          <w:i/>
          <w:sz w:val="20"/>
          <w:lang w:val="fr-FR"/>
        </w:rPr>
      </w:pPr>
    </w:p>
    <w:p w14:paraId="07007F26" w14:textId="56025ACE" w:rsidR="003F11FC" w:rsidRPr="007B5FF1" w:rsidRDefault="003F11FC" w:rsidP="004B6614">
      <w:pPr>
        <w:autoSpaceDE w:val="0"/>
        <w:autoSpaceDN w:val="0"/>
        <w:adjustRightInd w:val="0"/>
        <w:spacing w:before="120"/>
        <w:rPr>
          <w:rFonts w:ascii="Perpetua" w:hAnsi="Perpetua" w:cs="Times New Roman"/>
          <w:color w:val="000000"/>
          <w:sz w:val="32"/>
          <w:szCs w:val="32"/>
          <w:lang w:val="fr-FR"/>
        </w:rPr>
      </w:pPr>
      <w:r w:rsidRPr="007B5FF1">
        <w:rPr>
          <w:rFonts w:ascii="Perpetua" w:hAnsi="Perpetua" w:cs="Times New Roman"/>
          <w:color w:val="000000"/>
          <w:sz w:val="32"/>
          <w:szCs w:val="32"/>
          <w:lang w:val="fr-FR"/>
        </w:rPr>
        <w:t>Le prêt d’honneur « tr</w:t>
      </w:r>
      <w:r w:rsidR="004853AF" w:rsidRPr="007B5FF1">
        <w:rPr>
          <w:rFonts w:ascii="Perpetua" w:hAnsi="Perpetua" w:cs="Times New Roman"/>
          <w:color w:val="000000"/>
          <w:sz w:val="32"/>
          <w:szCs w:val="32"/>
          <w:lang w:val="fr-FR"/>
        </w:rPr>
        <w:t>ésorerie</w:t>
      </w:r>
      <w:r w:rsidRPr="007B5FF1">
        <w:rPr>
          <w:rFonts w:ascii="Perpetua" w:hAnsi="Perpetua" w:cs="Times New Roman"/>
          <w:color w:val="000000"/>
          <w:sz w:val="32"/>
          <w:szCs w:val="32"/>
          <w:lang w:val="fr-FR"/>
        </w:rPr>
        <w:t xml:space="preserve"> » est un financement à l’entrepreneur qui permet à l’entreprise</w:t>
      </w:r>
      <w:r w:rsidR="006D2C23">
        <w:rPr>
          <w:rFonts w:ascii="Perpetua" w:hAnsi="Perpetua" w:cs="Times New Roman"/>
          <w:color w:val="000000"/>
          <w:sz w:val="32"/>
          <w:szCs w:val="32"/>
          <w:lang w:val="fr-FR"/>
        </w:rPr>
        <w:t xml:space="preserve"> d’</w:t>
      </w:r>
      <w:r w:rsidR="006D2C23" w:rsidRPr="006D2C23">
        <w:rPr>
          <w:rFonts w:ascii="Perpetua" w:hAnsi="Perpetua" w:cs="Times New Roman"/>
          <w:color w:val="000000"/>
          <w:sz w:val="32"/>
          <w:szCs w:val="32"/>
          <w:lang w:val="fr-FR"/>
        </w:rPr>
        <w:t xml:space="preserve">amorcer la relance en reconstituant la trésorerie, en couvrant la perte ponctuelle non comblée par les autres aides et dispositifs exceptionnelles, et en couvrant le BFR initial de relance. </w:t>
      </w:r>
      <w:r w:rsidR="006D2C23">
        <w:rPr>
          <w:rFonts w:ascii="Perpetua" w:hAnsi="Perpetua" w:cs="Times New Roman"/>
          <w:color w:val="000000"/>
          <w:sz w:val="32"/>
          <w:szCs w:val="32"/>
          <w:lang w:val="fr-FR"/>
        </w:rPr>
        <w:t xml:space="preserve">Tout cela </w:t>
      </w:r>
      <w:proofErr w:type="gramStart"/>
      <w:r w:rsidR="006D2C23">
        <w:rPr>
          <w:rFonts w:ascii="Perpetua" w:hAnsi="Perpetua" w:cs="Times New Roman"/>
          <w:color w:val="000000"/>
          <w:sz w:val="32"/>
          <w:szCs w:val="32"/>
          <w:lang w:val="fr-FR"/>
        </w:rPr>
        <w:t>suite</w:t>
      </w:r>
      <w:r w:rsidRPr="007B5FF1">
        <w:rPr>
          <w:rFonts w:ascii="Perpetua" w:hAnsi="Perpetua" w:cs="Times New Roman"/>
          <w:color w:val="000000"/>
          <w:sz w:val="32"/>
          <w:szCs w:val="32"/>
          <w:lang w:val="fr-FR"/>
        </w:rPr>
        <w:t xml:space="preserve"> </w:t>
      </w:r>
      <w:r w:rsidR="004853AF" w:rsidRPr="007B5FF1">
        <w:rPr>
          <w:rFonts w:ascii="Perpetua" w:hAnsi="Perpetua" w:cs="Times New Roman"/>
          <w:color w:val="000000"/>
          <w:sz w:val="32"/>
          <w:szCs w:val="32"/>
          <w:lang w:val="fr-FR"/>
        </w:rPr>
        <w:t>à</w:t>
      </w:r>
      <w:proofErr w:type="gramEnd"/>
      <w:r w:rsidR="004853AF" w:rsidRPr="007B5FF1">
        <w:rPr>
          <w:rFonts w:ascii="Perpetua" w:hAnsi="Perpetua" w:cs="Times New Roman"/>
          <w:color w:val="000000"/>
          <w:sz w:val="32"/>
          <w:szCs w:val="32"/>
          <w:lang w:val="fr-FR"/>
        </w:rPr>
        <w:t xml:space="preserve"> la propagation du virus du corona Virus qui a mis à l’arrêt de nombreuses structures</w:t>
      </w:r>
      <w:r w:rsidRPr="007B5FF1">
        <w:rPr>
          <w:rFonts w:ascii="Perpetua" w:hAnsi="Perpetua" w:cs="Times New Roman"/>
          <w:color w:val="000000"/>
          <w:sz w:val="32"/>
          <w:szCs w:val="32"/>
          <w:lang w:val="fr-FR"/>
        </w:rPr>
        <w:t>.</w:t>
      </w:r>
    </w:p>
    <w:p w14:paraId="4B71F23D" w14:textId="2498C4FD" w:rsidR="003F11FC" w:rsidRPr="007B5FF1" w:rsidRDefault="003F11FC" w:rsidP="004B6614">
      <w:pPr>
        <w:autoSpaceDE w:val="0"/>
        <w:autoSpaceDN w:val="0"/>
        <w:adjustRightInd w:val="0"/>
        <w:spacing w:before="120"/>
        <w:rPr>
          <w:rFonts w:ascii="Perpetua" w:hAnsi="Perpetua" w:cs="Times New Roman"/>
          <w:color w:val="000000"/>
          <w:sz w:val="32"/>
          <w:szCs w:val="32"/>
          <w:lang w:val="fr-FR"/>
        </w:rPr>
      </w:pPr>
      <w:r w:rsidRPr="007B5FF1">
        <w:rPr>
          <w:rFonts w:ascii="Perpetua" w:hAnsi="Perpetua" w:cs="Times New Roman"/>
          <w:color w:val="000000"/>
          <w:sz w:val="32"/>
          <w:szCs w:val="32"/>
          <w:lang w:val="fr-FR"/>
        </w:rPr>
        <w:t>Ce</w:t>
      </w:r>
      <w:r w:rsidR="004853AF" w:rsidRPr="007B5FF1">
        <w:rPr>
          <w:rFonts w:ascii="Perpetua" w:hAnsi="Perpetua" w:cs="Times New Roman"/>
          <w:color w:val="000000"/>
          <w:sz w:val="32"/>
          <w:szCs w:val="32"/>
          <w:lang w:val="fr-FR"/>
        </w:rPr>
        <w:t xml:space="preserve"> virus</w:t>
      </w:r>
      <w:r w:rsidRPr="007B5FF1">
        <w:rPr>
          <w:rFonts w:ascii="Perpetua" w:hAnsi="Perpetua" w:cs="Times New Roman"/>
          <w:color w:val="000000"/>
          <w:sz w:val="32"/>
          <w:szCs w:val="32"/>
          <w:lang w:val="fr-FR"/>
        </w:rPr>
        <w:t xml:space="preserve"> met l’entreprise dans l'obligation de réorienter ou de relancer son activité par des actions diverses qui impliquent des moyens dont elles ne disposent plus ou de manière insuffisante.</w:t>
      </w:r>
      <w:bookmarkStart w:id="0" w:name="_GoBack"/>
      <w:bookmarkEnd w:id="0"/>
    </w:p>
    <w:p w14:paraId="5E44F3A9" w14:textId="0E7D25AB" w:rsidR="003F11FC" w:rsidRPr="007B5FF1" w:rsidRDefault="003F11FC" w:rsidP="004B6614">
      <w:pPr>
        <w:autoSpaceDE w:val="0"/>
        <w:autoSpaceDN w:val="0"/>
        <w:adjustRightInd w:val="0"/>
        <w:spacing w:before="120"/>
        <w:rPr>
          <w:rFonts w:ascii="Perpetua" w:hAnsi="Perpetua" w:cs="Times New Roman"/>
          <w:color w:val="000000"/>
          <w:sz w:val="32"/>
          <w:szCs w:val="32"/>
          <w:lang w:val="fr-FR"/>
        </w:rPr>
      </w:pPr>
      <w:r w:rsidRPr="007B5FF1">
        <w:rPr>
          <w:rFonts w:ascii="Perpetua" w:hAnsi="Perpetua" w:cs="Times New Roman"/>
          <w:color w:val="000000"/>
          <w:sz w:val="32"/>
          <w:szCs w:val="32"/>
          <w:lang w:val="fr-FR"/>
        </w:rPr>
        <w:t>Le prêt d’honneur tr</w:t>
      </w:r>
      <w:r w:rsidR="004853AF" w:rsidRPr="007B5FF1">
        <w:rPr>
          <w:rFonts w:ascii="Perpetua" w:hAnsi="Perpetua" w:cs="Times New Roman"/>
          <w:color w:val="000000"/>
          <w:sz w:val="32"/>
          <w:szCs w:val="32"/>
          <w:lang w:val="fr-FR"/>
        </w:rPr>
        <w:t>ésorerie</w:t>
      </w:r>
      <w:r w:rsidRPr="007B5FF1">
        <w:rPr>
          <w:rFonts w:ascii="Perpetua" w:hAnsi="Perpetua" w:cs="Times New Roman"/>
          <w:color w:val="000000"/>
          <w:sz w:val="32"/>
          <w:szCs w:val="32"/>
          <w:lang w:val="fr-FR"/>
        </w:rPr>
        <w:t xml:space="preserve"> a pour objectif de permettre à l’entreprise de retrouver des conditions saines de fonctionnement financier, de restaurer sa rentabilité et ainsi d’envisager sereinement sa réorganisation </w:t>
      </w:r>
      <w:r w:rsidR="007B5FF1" w:rsidRPr="007B5FF1">
        <w:rPr>
          <w:rFonts w:ascii="Perpetua" w:hAnsi="Perpetua" w:cs="Times New Roman"/>
          <w:color w:val="000000"/>
          <w:sz w:val="32"/>
          <w:szCs w:val="32"/>
          <w:lang w:val="fr-FR"/>
        </w:rPr>
        <w:t>en sortie de crise post COVID-19</w:t>
      </w:r>
      <w:r w:rsidRPr="007B5FF1">
        <w:rPr>
          <w:rFonts w:ascii="Perpetua" w:hAnsi="Perpetua" w:cs="Times New Roman"/>
          <w:color w:val="000000"/>
          <w:sz w:val="32"/>
          <w:szCs w:val="32"/>
          <w:lang w:val="fr-FR"/>
        </w:rPr>
        <w:t>.</w:t>
      </w:r>
    </w:p>
    <w:p w14:paraId="16448AF1" w14:textId="77777777" w:rsidR="003F11FC" w:rsidRPr="007B5FF1" w:rsidRDefault="003F11FC" w:rsidP="004B6614">
      <w:pPr>
        <w:autoSpaceDE w:val="0"/>
        <w:autoSpaceDN w:val="0"/>
        <w:adjustRightInd w:val="0"/>
        <w:spacing w:before="120"/>
        <w:rPr>
          <w:rFonts w:ascii="Perpetua" w:hAnsi="Perpetua" w:cs="Times New Roman"/>
          <w:color w:val="000000"/>
          <w:sz w:val="32"/>
          <w:szCs w:val="32"/>
          <w:lang w:val="fr-FR"/>
        </w:rPr>
      </w:pPr>
      <w:r w:rsidRPr="007B5FF1">
        <w:rPr>
          <w:rFonts w:ascii="Perpetua" w:hAnsi="Perpetua" w:cs="Times New Roman"/>
          <w:color w:val="000000"/>
          <w:sz w:val="32"/>
          <w:szCs w:val="32"/>
          <w:lang w:val="fr-FR"/>
        </w:rPr>
        <w:t>Les origines du besoin de financement peuvent être de 2 natures :</w:t>
      </w:r>
    </w:p>
    <w:p w14:paraId="76DA407C" w14:textId="34ED5B74" w:rsidR="003F11FC" w:rsidRPr="007B5FF1" w:rsidRDefault="003F11FC" w:rsidP="004B661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Perpetua" w:hAnsi="Perpetua" w:cs="Times New Roman"/>
          <w:color w:val="000000"/>
          <w:sz w:val="32"/>
          <w:szCs w:val="32"/>
          <w:lang w:val="fr-FR"/>
        </w:rPr>
      </w:pPr>
      <w:r w:rsidRPr="007B5FF1">
        <w:rPr>
          <w:rFonts w:ascii="Perpetua" w:hAnsi="Perpetua" w:cs="Times New Roman"/>
          <w:color w:val="000000"/>
          <w:sz w:val="32"/>
          <w:szCs w:val="32"/>
          <w:lang w:val="fr-FR"/>
        </w:rPr>
        <w:t xml:space="preserve">Facteurs externes : </w:t>
      </w:r>
      <w:r w:rsidR="004853AF" w:rsidRPr="007B5FF1">
        <w:rPr>
          <w:rFonts w:ascii="Perpetua" w:hAnsi="Perpetua" w:cs="Times New Roman"/>
          <w:color w:val="000000"/>
          <w:sz w:val="32"/>
          <w:szCs w:val="32"/>
          <w:lang w:val="fr-FR"/>
        </w:rPr>
        <w:t>virus COVID 19</w:t>
      </w:r>
    </w:p>
    <w:p w14:paraId="6CFEC76D" w14:textId="77777777" w:rsidR="003F11FC" w:rsidRPr="007B5FF1" w:rsidRDefault="003F11FC" w:rsidP="004B6614">
      <w:pPr>
        <w:autoSpaceDE w:val="0"/>
        <w:autoSpaceDN w:val="0"/>
        <w:adjustRightInd w:val="0"/>
        <w:spacing w:before="120"/>
        <w:rPr>
          <w:rFonts w:ascii="Perpetua" w:hAnsi="Perpetua" w:cs="Times New Roman"/>
          <w:color w:val="000000"/>
          <w:sz w:val="32"/>
          <w:szCs w:val="32"/>
          <w:lang w:val="fr-FR"/>
        </w:rPr>
      </w:pPr>
    </w:p>
    <w:p w14:paraId="2DE8D134" w14:textId="30FC227C" w:rsidR="003F11FC" w:rsidRPr="007B5FF1" w:rsidRDefault="003F11FC" w:rsidP="004B6614">
      <w:pPr>
        <w:autoSpaceDE w:val="0"/>
        <w:autoSpaceDN w:val="0"/>
        <w:adjustRightInd w:val="0"/>
        <w:spacing w:before="120"/>
        <w:rPr>
          <w:rFonts w:ascii="Perpetua" w:hAnsi="Perpetua" w:cs="Times New Roman"/>
          <w:color w:val="000000"/>
          <w:sz w:val="32"/>
          <w:szCs w:val="32"/>
          <w:lang w:val="fr-FR"/>
        </w:rPr>
      </w:pPr>
      <w:r w:rsidRPr="007B5FF1">
        <w:rPr>
          <w:rFonts w:ascii="Perpetua" w:hAnsi="Perpetua" w:cs="Times New Roman"/>
          <w:color w:val="000000"/>
          <w:sz w:val="32"/>
          <w:szCs w:val="32"/>
          <w:lang w:val="fr-FR"/>
        </w:rPr>
        <w:t>A travers le Prêt d’Honneur Tr</w:t>
      </w:r>
      <w:r w:rsidR="004853AF" w:rsidRPr="007B5FF1">
        <w:rPr>
          <w:rFonts w:ascii="Perpetua" w:hAnsi="Perpetua" w:cs="Times New Roman"/>
          <w:color w:val="000000"/>
          <w:sz w:val="32"/>
          <w:szCs w:val="32"/>
          <w:lang w:val="fr-FR"/>
        </w:rPr>
        <w:t>ésorerie</w:t>
      </w:r>
      <w:r w:rsidRPr="007B5FF1">
        <w:rPr>
          <w:rFonts w:ascii="Perpetua" w:hAnsi="Perpetua" w:cs="Times New Roman"/>
          <w:color w:val="000000"/>
          <w:sz w:val="32"/>
          <w:szCs w:val="32"/>
          <w:lang w:val="fr-FR"/>
        </w:rPr>
        <w:t xml:space="preserve"> l’intervention de la plateforme permet :</w:t>
      </w:r>
    </w:p>
    <w:p w14:paraId="57AE90FB" w14:textId="74627D22" w:rsidR="003F11FC" w:rsidRPr="007B5FF1" w:rsidRDefault="007B5FF1" w:rsidP="004B661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Perpetua" w:hAnsi="Perpetua" w:cs="Times New Roman"/>
          <w:color w:val="000000"/>
          <w:sz w:val="32"/>
          <w:szCs w:val="32"/>
          <w:lang w:val="fr-FR"/>
        </w:rPr>
      </w:pPr>
      <w:r w:rsidRPr="007B5FF1">
        <w:rPr>
          <w:rFonts w:ascii="Perpetua" w:hAnsi="Perpetua" w:cs="Times New Roman"/>
          <w:color w:val="000000"/>
          <w:sz w:val="32"/>
          <w:szCs w:val="32"/>
          <w:lang w:val="fr-FR"/>
        </w:rPr>
        <w:t>Un</w:t>
      </w:r>
      <w:r w:rsidR="003F11FC" w:rsidRPr="007B5FF1">
        <w:rPr>
          <w:rFonts w:ascii="Perpetua" w:hAnsi="Perpetua" w:cs="Times New Roman"/>
          <w:color w:val="000000"/>
          <w:sz w:val="32"/>
          <w:szCs w:val="32"/>
          <w:lang w:val="fr-FR"/>
        </w:rPr>
        <w:t xml:space="preserve"> renforcement des quasi-fonds propres</w:t>
      </w:r>
    </w:p>
    <w:p w14:paraId="2240E4CB" w14:textId="01AD6AC2" w:rsidR="003F11FC" w:rsidRPr="007B5FF1" w:rsidRDefault="007B5FF1" w:rsidP="004B661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Perpetua" w:hAnsi="Perpetua" w:cs="Times New Roman"/>
          <w:color w:val="000000"/>
          <w:sz w:val="32"/>
          <w:szCs w:val="32"/>
          <w:lang w:val="fr-FR"/>
        </w:rPr>
      </w:pPr>
      <w:r w:rsidRPr="007B5FF1">
        <w:rPr>
          <w:rFonts w:ascii="Perpetua" w:hAnsi="Perpetua" w:cs="Times New Roman"/>
          <w:color w:val="000000"/>
          <w:sz w:val="32"/>
          <w:szCs w:val="32"/>
          <w:lang w:val="fr-FR"/>
        </w:rPr>
        <w:t>Un</w:t>
      </w:r>
      <w:r w:rsidR="003F11FC" w:rsidRPr="007B5FF1">
        <w:rPr>
          <w:rFonts w:ascii="Perpetua" w:hAnsi="Perpetua" w:cs="Times New Roman"/>
          <w:color w:val="000000"/>
          <w:sz w:val="32"/>
          <w:szCs w:val="32"/>
          <w:lang w:val="fr-FR"/>
        </w:rPr>
        <w:t xml:space="preserve"> apport de confiance pour les </w:t>
      </w:r>
      <w:r>
        <w:rPr>
          <w:rFonts w:ascii="Perpetua" w:hAnsi="Perpetua" w:cs="Times New Roman"/>
          <w:color w:val="000000"/>
          <w:sz w:val="32"/>
          <w:szCs w:val="32"/>
          <w:lang w:val="fr-FR"/>
        </w:rPr>
        <w:t xml:space="preserve">potentiels </w:t>
      </w:r>
      <w:r w:rsidRPr="007B5FF1">
        <w:rPr>
          <w:rFonts w:ascii="Perpetua" w:hAnsi="Perpetua" w:cs="Times New Roman"/>
          <w:color w:val="000000"/>
          <w:sz w:val="32"/>
          <w:szCs w:val="32"/>
          <w:lang w:val="fr-FR"/>
        </w:rPr>
        <w:t>financeurs liés</w:t>
      </w:r>
      <w:r w:rsidR="003F11FC" w:rsidRPr="007B5FF1">
        <w:rPr>
          <w:rFonts w:ascii="Perpetua" w:hAnsi="Perpetua" w:cs="Times New Roman"/>
          <w:color w:val="000000"/>
          <w:sz w:val="32"/>
          <w:szCs w:val="32"/>
          <w:lang w:val="fr-FR"/>
        </w:rPr>
        <w:t xml:space="preserve"> au mode de décision d’attribution du prêt d’honneur et au suivi qui en découle.</w:t>
      </w:r>
    </w:p>
    <w:p w14:paraId="4D131BAD" w14:textId="4DAEE130" w:rsidR="003F11FC" w:rsidRPr="007B5FF1" w:rsidRDefault="007B5FF1" w:rsidP="004B661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Perpetua" w:hAnsi="Perpetua" w:cs="Times New Roman"/>
          <w:color w:val="000000"/>
          <w:sz w:val="32"/>
          <w:szCs w:val="32"/>
          <w:lang w:val="fr-FR"/>
        </w:rPr>
      </w:pPr>
      <w:r w:rsidRPr="007B5FF1">
        <w:rPr>
          <w:rFonts w:ascii="Perpetua" w:hAnsi="Perpetua" w:cs="Times New Roman"/>
          <w:color w:val="000000"/>
          <w:sz w:val="32"/>
          <w:szCs w:val="32"/>
          <w:lang w:val="fr-FR"/>
        </w:rPr>
        <w:t>Un</w:t>
      </w:r>
      <w:r w:rsidR="003F11FC" w:rsidRPr="007B5FF1">
        <w:rPr>
          <w:rFonts w:ascii="Perpetua" w:hAnsi="Perpetua" w:cs="Times New Roman"/>
          <w:color w:val="000000"/>
          <w:sz w:val="32"/>
          <w:szCs w:val="32"/>
          <w:lang w:val="fr-FR"/>
        </w:rPr>
        <w:t xml:space="preserve"> appui pour passer </w:t>
      </w:r>
      <w:r w:rsidR="004853AF" w:rsidRPr="007B5FF1">
        <w:rPr>
          <w:rFonts w:ascii="Perpetua" w:hAnsi="Perpetua" w:cs="Times New Roman"/>
          <w:color w:val="000000"/>
          <w:sz w:val="32"/>
          <w:szCs w:val="32"/>
          <w:lang w:val="fr-FR"/>
        </w:rPr>
        <w:t>ce</w:t>
      </w:r>
      <w:r w:rsidR="003F11FC" w:rsidRPr="007B5FF1">
        <w:rPr>
          <w:rFonts w:ascii="Perpetua" w:hAnsi="Perpetua" w:cs="Times New Roman"/>
          <w:color w:val="000000"/>
          <w:sz w:val="32"/>
          <w:szCs w:val="32"/>
          <w:lang w:val="fr-FR"/>
        </w:rPr>
        <w:t xml:space="preserve"> cap difficile</w:t>
      </w:r>
    </w:p>
    <w:p w14:paraId="7119960F" w14:textId="7D9EB1F6" w:rsidR="003F11FC" w:rsidRPr="007B5FF1" w:rsidRDefault="003F11FC">
      <w:pPr>
        <w:rPr>
          <w:rFonts w:ascii="Perpetua" w:hAnsi="Perpetua" w:cs="Times New Roman"/>
          <w:color w:val="000000"/>
          <w:sz w:val="32"/>
          <w:szCs w:val="32"/>
          <w:lang w:val="fr-FR"/>
        </w:rPr>
      </w:pPr>
      <w:r w:rsidRPr="007B5FF1">
        <w:rPr>
          <w:rFonts w:ascii="Perpetua" w:hAnsi="Perpetua" w:cs="Times New Roman"/>
          <w:color w:val="000000"/>
          <w:sz w:val="32"/>
          <w:szCs w:val="32"/>
          <w:lang w:val="fr-FR"/>
        </w:rPr>
        <w:br w:type="page"/>
      </w:r>
    </w:p>
    <w:tbl>
      <w:tblPr>
        <w:tblW w:w="964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569"/>
        <w:gridCol w:w="6451"/>
      </w:tblGrid>
      <w:tr w:rsidR="00F67F7E" w:rsidRPr="001E5A1C" w14:paraId="36A9FA18" w14:textId="77777777" w:rsidTr="00AC7D5C">
        <w:trPr>
          <w:trHeight w:val="562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452080" w14:textId="77777777" w:rsidR="00F67F7E" w:rsidRPr="001E5A1C" w:rsidRDefault="00F67F7E" w:rsidP="001E5A1C">
            <w:pPr>
              <w:rPr>
                <w:rFonts w:ascii="Cambria" w:eastAsia="Times New Roman" w:hAnsi="Cambria" w:cs="Times New Roman"/>
                <w:color w:val="000000"/>
                <w:lang w:val="fr-FR"/>
              </w:rPr>
            </w:pPr>
            <w:r w:rsidRPr="001E5A1C">
              <w:rPr>
                <w:rFonts w:ascii="Cambria" w:eastAsia="Times New Roman" w:hAnsi="Cambria" w:cs="Times New Roman"/>
                <w:color w:val="000000"/>
                <w:lang w:val="fr-FR"/>
              </w:rPr>
              <w:lastRenderedPageBreak/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B2FB" w14:textId="77777777" w:rsidR="00F67F7E" w:rsidRPr="001E5A1C" w:rsidRDefault="00F67F7E" w:rsidP="001E5A1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1E5A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10EA" w14:textId="544F931C" w:rsidR="00F67F7E" w:rsidRPr="001E5A1C" w:rsidRDefault="007B5FF1" w:rsidP="001E5A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/>
              </w:rPr>
              <w:t xml:space="preserve">Prêt </w:t>
            </w:r>
            <w:r w:rsidR="00485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/>
              </w:rPr>
              <w:t>Trésorerie</w:t>
            </w:r>
          </w:p>
        </w:tc>
      </w:tr>
      <w:tr w:rsidR="00F67F7E" w:rsidRPr="001E5A1C" w14:paraId="5DC0826E" w14:textId="77777777" w:rsidTr="00AC7D5C">
        <w:trPr>
          <w:trHeight w:val="7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EC3520" w14:textId="77777777" w:rsidR="00F67F7E" w:rsidRPr="001E5A1C" w:rsidRDefault="00F67F7E" w:rsidP="001E5A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1E5A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/>
              </w:rPr>
              <w:t>Dispositif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CE43" w14:textId="3323BB06" w:rsidR="00F67F7E" w:rsidRPr="001E5A1C" w:rsidRDefault="00F67F7E" w:rsidP="00BC005E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1E5A1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Montant</w:t>
            </w:r>
            <w:r w:rsidR="00AC7D5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 xml:space="preserve"> </w:t>
            </w:r>
            <w:r w:rsidR="00AC7D5C" w:rsidRPr="00AC7D5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val="fr-FR"/>
              </w:rPr>
              <w:t>par projet</w:t>
            </w:r>
            <w:r w:rsidR="00AC7D5C">
              <w:rPr>
                <w:rStyle w:val="Appelnotedebasdep"/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val="fr-FR"/>
              </w:rPr>
              <w:footnoteReference w:id="1"/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BEAD" w14:textId="48C973EC" w:rsidR="00F67F7E" w:rsidRPr="001E5A1C" w:rsidRDefault="00F67F7E" w:rsidP="00BC005E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1E5A1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 xml:space="preserve">De </w:t>
            </w:r>
            <w:r w:rsidR="004853AF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3</w:t>
            </w:r>
            <w:r w:rsidRPr="001E5A1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 xml:space="preserve">k€ à </w:t>
            </w:r>
            <w:r w:rsidR="004853AF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8</w:t>
            </w:r>
            <w:r w:rsidRPr="001E5A1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k€</w:t>
            </w:r>
          </w:p>
        </w:tc>
      </w:tr>
      <w:tr w:rsidR="00F67F7E" w:rsidRPr="00BA4802" w14:paraId="375803EF" w14:textId="77777777" w:rsidTr="00AC7D5C">
        <w:trPr>
          <w:trHeight w:val="11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89ABD" w14:textId="77777777" w:rsidR="00F67F7E" w:rsidRPr="001E5A1C" w:rsidRDefault="00F67F7E" w:rsidP="001E5A1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2A44" w14:textId="6742F8D4" w:rsidR="00F67F7E" w:rsidRPr="001E5A1C" w:rsidRDefault="00F67F7E" w:rsidP="00BC005E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1E5A1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Durée du prêt d’honneur</w:t>
            </w:r>
            <w:r w:rsidR="00AC7D5C">
              <w:rPr>
                <w:rStyle w:val="Appelnotedebasdep"/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footnoteReference w:id="2"/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31DF" w14:textId="3044E964" w:rsidR="00F67F7E" w:rsidRPr="001E5A1C" w:rsidRDefault="00F67F7E" w:rsidP="00BC005E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1E5A1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 xml:space="preserve">De </w:t>
            </w:r>
            <w:r w:rsidR="004853AF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 xml:space="preserve">12 mois </w:t>
            </w:r>
            <w:r w:rsidRPr="001E5A1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(avec différé</w:t>
            </w:r>
            <w:r w:rsidR="004853AF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 xml:space="preserve"> de </w:t>
            </w:r>
            <w:r w:rsidRPr="001E5A1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6 mois)</w:t>
            </w:r>
          </w:p>
        </w:tc>
      </w:tr>
      <w:tr w:rsidR="00AC7D5C" w:rsidRPr="00BA4802" w14:paraId="72523AD5" w14:textId="77777777" w:rsidTr="00AC7D5C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9BCA21" w14:textId="7A8E8244" w:rsidR="00AC7D5C" w:rsidRPr="001E5A1C" w:rsidRDefault="00AC7D5C" w:rsidP="00AC7D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1E5A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/>
              </w:rPr>
              <w:t>Situation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/>
              </w:rPr>
              <w:br/>
              <w:t>e</w:t>
            </w:r>
            <w:r w:rsidRPr="001E5A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/>
              </w:rPr>
              <w:t>ntrepreneur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39D0" w14:textId="77777777" w:rsidR="00AC7D5C" w:rsidRPr="001E5A1C" w:rsidRDefault="00AC7D5C" w:rsidP="00AC7D5C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1E5A1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Nationalité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0477" w14:textId="04B9607C" w:rsidR="00AC7D5C" w:rsidRPr="001E5A1C" w:rsidRDefault="00AC7D5C" w:rsidP="00AC7D5C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1E5A1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Membre de la communauté Européenne ou titre de séjour valide sur 1 an</w:t>
            </w:r>
          </w:p>
        </w:tc>
      </w:tr>
      <w:tr w:rsidR="00F67F7E" w:rsidRPr="001E5A1C" w14:paraId="6C826F7E" w14:textId="77777777" w:rsidTr="00AC7D5C">
        <w:trPr>
          <w:trHeight w:val="31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7E12F" w14:textId="77777777" w:rsidR="00F67F7E" w:rsidRPr="001E5A1C" w:rsidRDefault="00F67F7E" w:rsidP="00F67F7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9FD0" w14:textId="77777777" w:rsidR="00F67F7E" w:rsidRPr="001E5A1C" w:rsidRDefault="00F67F7E" w:rsidP="00BC005E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1E5A1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Résidence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E34E" w14:textId="77F2CF28" w:rsidR="00F67F7E" w:rsidRPr="001E5A1C" w:rsidRDefault="004853AF" w:rsidP="00BC005E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Saint Martin</w:t>
            </w:r>
          </w:p>
        </w:tc>
      </w:tr>
      <w:tr w:rsidR="00F67F7E" w:rsidRPr="001E5A1C" w14:paraId="68C6F631" w14:textId="77777777" w:rsidTr="00AC7D5C">
        <w:trPr>
          <w:trHeight w:val="2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C1667" w14:textId="77777777" w:rsidR="00F67F7E" w:rsidRPr="001E5A1C" w:rsidRDefault="00F67F7E" w:rsidP="00F67F7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6154" w14:textId="77777777" w:rsidR="00F67F7E" w:rsidRPr="001E5A1C" w:rsidRDefault="00F67F7E" w:rsidP="00BC005E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1E5A1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Statut professionnel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D3A4" w14:textId="15E2D8F5" w:rsidR="00F67F7E" w:rsidRPr="001E5A1C" w:rsidRDefault="00F67F7E" w:rsidP="00BC005E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 xml:space="preserve">Actif </w:t>
            </w:r>
            <w:r w:rsidRPr="001E5A1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indépendant</w:t>
            </w:r>
            <w:r w:rsidR="004853AF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 xml:space="preserve"> déjà financé par la </w:t>
            </w:r>
            <w:r w:rsidR="007B5FF1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plateforme</w:t>
            </w:r>
          </w:p>
        </w:tc>
      </w:tr>
      <w:tr w:rsidR="00F67F7E" w:rsidRPr="00BA4802" w14:paraId="3412FAE0" w14:textId="77777777" w:rsidTr="00AC7D5C">
        <w:trPr>
          <w:trHeight w:val="4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FA1C6" w14:textId="77777777" w:rsidR="00F67F7E" w:rsidRPr="001E5A1C" w:rsidRDefault="00F67F7E" w:rsidP="00F67F7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F8F4" w14:textId="77777777" w:rsidR="00F67F7E" w:rsidRPr="001E5A1C" w:rsidRDefault="00F67F7E" w:rsidP="00BC005E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1E5A1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Situation fiscale, sociale, bancaire, judicaire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C0D2" w14:textId="22747CB9" w:rsidR="00F67F7E" w:rsidRPr="001E5A1C" w:rsidRDefault="00F67F7E" w:rsidP="00BC005E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1E5A1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A jour ou en cours de régularisation.</w:t>
            </w:r>
            <w:r w:rsidRPr="001E5A1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br/>
              <w:t>Sans interdits bancaires.</w:t>
            </w:r>
            <w:r w:rsidR="0068568B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br/>
            </w:r>
            <w:r w:rsidR="0068568B" w:rsidRPr="002D6823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 xml:space="preserve">Ne pas être entré dans une procédure judiciaire (RJ, LJ, Mandat Ad </w:t>
            </w:r>
            <w:r w:rsidR="007B5FF1" w:rsidRPr="002D6823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Hoc…</w:t>
            </w:r>
            <w:r w:rsidR="0068568B" w:rsidRPr="002D6823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)</w:t>
            </w:r>
          </w:p>
        </w:tc>
      </w:tr>
      <w:tr w:rsidR="00AC7D5C" w:rsidRPr="001E5A1C" w14:paraId="02ABB5A5" w14:textId="77777777" w:rsidTr="00AC7D5C">
        <w:trPr>
          <w:trHeight w:val="7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2F26E2" w14:textId="2825E93E" w:rsidR="00AC7D5C" w:rsidRPr="001E5A1C" w:rsidRDefault="00AC7D5C" w:rsidP="00AC7D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1E5A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/>
              </w:rPr>
              <w:t>Situation entreprise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9F31" w14:textId="154AD3F8" w:rsidR="00AC7D5C" w:rsidRPr="001E5A1C" w:rsidRDefault="00AC7D5C" w:rsidP="00AC7D5C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1E5A1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 xml:space="preserve">Age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 xml:space="preserve">et contexte </w:t>
            </w:r>
            <w:r w:rsidRPr="001E5A1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de l’entreprise</w:t>
            </w: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9470D4" w14:textId="60FE8CF9" w:rsidR="00AC7D5C" w:rsidRDefault="004853AF" w:rsidP="00AC7D5C">
            <w:pPr>
              <w:pStyle w:val="Paragraphedeliste"/>
              <w:numPr>
                <w:ilvl w:val="0"/>
                <w:numId w:val="7"/>
              </w:numPr>
              <w:spacing w:before="60" w:after="6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 xml:space="preserve">Toutes les entreprises n’ayant pas la possibilité de mobiliser </w:t>
            </w:r>
            <w:r w:rsidR="007B5FF1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un autre dispositif bancaire</w:t>
            </w:r>
            <w:r w:rsidR="00BC4291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 xml:space="preserve"> </w:t>
            </w:r>
          </w:p>
          <w:p w14:paraId="088B5704" w14:textId="77777777" w:rsidR="00AC7D5C" w:rsidRDefault="004853AF" w:rsidP="004853AF">
            <w:pPr>
              <w:pStyle w:val="Paragraphedeliste"/>
              <w:numPr>
                <w:ilvl w:val="0"/>
                <w:numId w:val="7"/>
              </w:numPr>
              <w:spacing w:before="60" w:after="6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Soit -18 mois d’activité, soit EI ne pouvant justifier d’un bilan</w:t>
            </w:r>
          </w:p>
          <w:p w14:paraId="0B2EF4A5" w14:textId="4D234CF6" w:rsidR="004853AF" w:rsidRPr="00AC7D5C" w:rsidRDefault="004853AF" w:rsidP="004853AF">
            <w:pPr>
              <w:pStyle w:val="Paragraphedeliste"/>
              <w:numPr>
                <w:ilvl w:val="0"/>
                <w:numId w:val="7"/>
              </w:numPr>
              <w:spacing w:before="60" w:after="6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Les structures ne pouvant bénéficier d’un prêt bancaire</w:t>
            </w:r>
          </w:p>
        </w:tc>
      </w:tr>
      <w:tr w:rsidR="00F67F7E" w:rsidRPr="00BA4802" w14:paraId="16BCB72B" w14:textId="77777777" w:rsidTr="00AC7D5C">
        <w:trPr>
          <w:trHeight w:val="7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422CE" w14:textId="77777777" w:rsidR="00F67F7E" w:rsidRPr="001E5A1C" w:rsidRDefault="00F67F7E" w:rsidP="00F67F7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0497" w14:textId="77777777" w:rsidR="00F67F7E" w:rsidRPr="001E5A1C" w:rsidRDefault="00F67F7E" w:rsidP="00BC005E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1E5A1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Apport personnel requis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F7D7" w14:textId="1D279E94" w:rsidR="00F67F7E" w:rsidRPr="001E5A1C" w:rsidRDefault="00F67F7E" w:rsidP="00BC005E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1E5A1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Non à condition que les capitaux propres soient positifs</w:t>
            </w:r>
          </w:p>
        </w:tc>
      </w:tr>
      <w:tr w:rsidR="00F67F7E" w:rsidRPr="00BA4802" w14:paraId="1540B8A7" w14:textId="77777777" w:rsidTr="00AC7D5C">
        <w:trPr>
          <w:trHeight w:val="7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B97B4" w14:textId="77777777" w:rsidR="00F67F7E" w:rsidRPr="001E5A1C" w:rsidRDefault="00F67F7E" w:rsidP="00F67F7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BF3C" w14:textId="77777777" w:rsidR="00F67F7E" w:rsidRPr="001E5A1C" w:rsidRDefault="00F67F7E" w:rsidP="00BC005E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1E5A1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Type d’investissement (par priorité)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61BF" w14:textId="4776FA53" w:rsidR="00F67F7E" w:rsidRPr="001E5A1C" w:rsidRDefault="007B5FF1" w:rsidP="00BC005E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 xml:space="preserve">Charges fixes non prise en charge par un autre dispositif </w:t>
            </w:r>
          </w:p>
        </w:tc>
      </w:tr>
      <w:tr w:rsidR="00F67F7E" w:rsidRPr="001E5A1C" w14:paraId="5D707818" w14:textId="77777777" w:rsidTr="00AC7D5C">
        <w:trPr>
          <w:trHeight w:val="7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96B34" w14:textId="77777777" w:rsidR="00F67F7E" w:rsidRPr="001E5A1C" w:rsidRDefault="00F67F7E" w:rsidP="00F67F7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8A53" w14:textId="7CD0A0B7" w:rsidR="00F67F7E" w:rsidRPr="001E5A1C" w:rsidRDefault="00F67F7E" w:rsidP="00BC005E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1E5A1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Obligation de remboursement du 1</w:t>
            </w:r>
            <w:r w:rsidRPr="001E5A1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fr-FR"/>
              </w:rPr>
              <w:t>er</w:t>
            </w:r>
            <w:r w:rsidR="00AC7D5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 xml:space="preserve"> prêt d’honneur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1633A" w14:textId="6A1ECA46" w:rsidR="00F67F7E" w:rsidRPr="001E5A1C" w:rsidRDefault="00F67F7E" w:rsidP="00BC005E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1E5A1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Non</w:t>
            </w:r>
          </w:p>
        </w:tc>
      </w:tr>
      <w:tr w:rsidR="00F67F7E" w:rsidRPr="00BA4802" w14:paraId="089F21FC" w14:textId="77777777" w:rsidTr="00AC7D5C">
        <w:trPr>
          <w:trHeight w:val="4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C1FD6" w14:textId="77777777" w:rsidR="00F67F7E" w:rsidRPr="001E5A1C" w:rsidRDefault="00F67F7E" w:rsidP="00F67F7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3CE4" w14:textId="77777777" w:rsidR="00F67F7E" w:rsidRPr="001E5A1C" w:rsidRDefault="00F67F7E" w:rsidP="00BC005E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1E5A1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Obligation de caution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E2BE" w14:textId="77777777" w:rsidR="00F67F7E" w:rsidRPr="001E5A1C" w:rsidRDefault="00F67F7E" w:rsidP="00BC005E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1E5A1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Sans caution personnelle ni garantie</w:t>
            </w:r>
          </w:p>
        </w:tc>
      </w:tr>
      <w:tr w:rsidR="00F67F7E" w:rsidRPr="00BA4802" w14:paraId="0EFBFEF2" w14:textId="77777777" w:rsidTr="00AC7D5C">
        <w:trPr>
          <w:trHeight w:val="7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7633D" w14:textId="77777777" w:rsidR="00F67F7E" w:rsidRPr="001E5A1C" w:rsidRDefault="00F67F7E" w:rsidP="00F67F7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F8D2" w14:textId="77777777" w:rsidR="00F67F7E" w:rsidRPr="001E5A1C" w:rsidRDefault="00F67F7E" w:rsidP="00BC005E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1E5A1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Obligation de création d’emploi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6C14" w14:textId="74245399" w:rsidR="00F67F7E" w:rsidRPr="001E5A1C" w:rsidRDefault="002D6823" w:rsidP="00BC005E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2D6823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Maintien de l’effectif salarié obligatoire sur une durée de 6 mois</w:t>
            </w:r>
          </w:p>
        </w:tc>
      </w:tr>
      <w:tr w:rsidR="00F67F7E" w:rsidRPr="00BA4802" w14:paraId="54A24C43" w14:textId="77777777" w:rsidTr="00AC7D5C">
        <w:trPr>
          <w:trHeight w:val="7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03B97" w14:textId="77777777" w:rsidR="00F67F7E" w:rsidRPr="001E5A1C" w:rsidRDefault="00F67F7E" w:rsidP="00F67F7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FA1B" w14:textId="77777777" w:rsidR="00F67F7E" w:rsidRPr="001E5A1C" w:rsidRDefault="00F67F7E" w:rsidP="00BC005E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1E5A1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Statut juridique de l’entreprise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A72B" w14:textId="7B1FA2B7" w:rsidR="002D6823" w:rsidRPr="001E5A1C" w:rsidRDefault="00F67F7E" w:rsidP="00801537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1E5A1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Tout type sauf SCI</w:t>
            </w:r>
            <w:r w:rsidR="0068568B" w:rsidRPr="001E5A1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 xml:space="preserve"> </w:t>
            </w:r>
            <w:r w:rsidR="0068568B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 xml:space="preserve">ou </w:t>
            </w:r>
            <w:r w:rsidR="0068568B" w:rsidRPr="001E5A1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autoentrepreneur</w:t>
            </w:r>
            <w:r w:rsidRPr="001E5A1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 xml:space="preserve">. </w:t>
            </w:r>
            <w:r w:rsidR="0068568B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br/>
            </w:r>
            <w:r w:rsidRPr="001E5A1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 xml:space="preserve">Pour les Sociétés : Le bénéficiaire doit exercer le contrôle effectif de l’entreprise </w:t>
            </w:r>
          </w:p>
        </w:tc>
      </w:tr>
      <w:tr w:rsidR="00F67F7E" w:rsidRPr="00BA4802" w14:paraId="477646D5" w14:textId="77777777" w:rsidTr="00AC7D5C">
        <w:trPr>
          <w:trHeight w:val="7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4953B" w14:textId="77777777" w:rsidR="00F67F7E" w:rsidRPr="001E5A1C" w:rsidRDefault="00F67F7E" w:rsidP="00F67F7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F20B" w14:textId="77777777" w:rsidR="00F67F7E" w:rsidRPr="001E5A1C" w:rsidRDefault="00F67F7E" w:rsidP="00BC005E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1E5A1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Suivi par un expert-comptable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B6258" w14:textId="261011EF" w:rsidR="007B5FF1" w:rsidRPr="001E5A1C" w:rsidRDefault="0068568B" w:rsidP="007B5FF1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 xml:space="preserve">Obligatoire </w:t>
            </w:r>
            <w:r w:rsidR="007B5FF1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et attestation du chiffre d’affaires sur le 6 derniers mois voire moins si la date de création est inférieure</w:t>
            </w:r>
          </w:p>
        </w:tc>
      </w:tr>
      <w:tr w:rsidR="00A86E43" w:rsidRPr="00BA4802" w14:paraId="04430A95" w14:textId="77777777" w:rsidTr="00AC7D5C">
        <w:trPr>
          <w:trHeight w:val="7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63F019" w14:textId="547DCEDE" w:rsidR="00A86E43" w:rsidRPr="001E5A1C" w:rsidRDefault="00A86E43" w:rsidP="009A2FFD">
            <w:pPr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/>
              </w:rPr>
              <w:t>Fonds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ED642" w14:textId="2FD074E9" w:rsidR="00A86E43" w:rsidRPr="001E5A1C" w:rsidRDefault="00AC7D5C" w:rsidP="009A2FFD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Couplage</w:t>
            </w:r>
            <w:r>
              <w:rPr>
                <w:rStyle w:val="Appelnotedebasdep"/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footnoteReference w:id="3"/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E8077" w14:textId="0FBC653F" w:rsidR="00A86E43" w:rsidRDefault="007B5FF1" w:rsidP="00082238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Pas de couplage sur le prêt trésorerie garantie BPI</w:t>
            </w:r>
          </w:p>
        </w:tc>
      </w:tr>
      <w:tr w:rsidR="00A86E43" w:rsidRPr="001E5A1C" w14:paraId="37CD33DB" w14:textId="77777777" w:rsidTr="00AC7D5C">
        <w:trPr>
          <w:trHeight w:val="7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39B51" w14:textId="77777777" w:rsidR="00A86E43" w:rsidRPr="001E5A1C" w:rsidRDefault="00A86E43" w:rsidP="009A2FF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A236D" w14:textId="2DCC45E9" w:rsidR="00A86E43" w:rsidRPr="001E5A1C" w:rsidRDefault="00A86E43" w:rsidP="009A2FFD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1E5A1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Effet levier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E04DB" w14:textId="16583FB0" w:rsidR="00A86E43" w:rsidRDefault="00A86E43" w:rsidP="009A2FFD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N/A</w:t>
            </w:r>
          </w:p>
        </w:tc>
      </w:tr>
      <w:tr w:rsidR="00A86E43" w:rsidRPr="00BA4802" w14:paraId="4F2E82A6" w14:textId="77777777" w:rsidTr="00AC7D5C">
        <w:trPr>
          <w:trHeight w:val="7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2A6B4" w14:textId="77777777" w:rsidR="00A86E43" w:rsidRPr="001E5A1C" w:rsidRDefault="00A86E43" w:rsidP="009A2FF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247E5" w14:textId="3296FC62" w:rsidR="00A86E43" w:rsidRPr="001E5A1C" w:rsidRDefault="00A86E43" w:rsidP="009A2FFD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Affection analytique</w:t>
            </w:r>
            <w:r w:rsidR="00AC7D5C">
              <w:rPr>
                <w:rStyle w:val="Appelnotedebasdep"/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footnoteReference w:id="4"/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CE373" w14:textId="3EDD9A77" w:rsidR="00A86E43" w:rsidRDefault="007B5FF1" w:rsidP="009A2FFD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Fond révolving avance remboursable</w:t>
            </w:r>
          </w:p>
        </w:tc>
      </w:tr>
      <w:tr w:rsidR="00A86E43" w:rsidRPr="00A86E43" w14:paraId="49174669" w14:textId="77777777" w:rsidTr="00AC7D5C">
        <w:trPr>
          <w:trHeight w:val="70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1450" w14:textId="77777777" w:rsidR="00A86E43" w:rsidRPr="001E5A1C" w:rsidRDefault="00A86E43" w:rsidP="009A2FF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F0F24" w14:textId="597A9DF5" w:rsidR="00A86E43" w:rsidRDefault="00A86E43" w:rsidP="009A2FFD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Sinistralité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95E5" w14:textId="4009956C" w:rsidR="00A86E43" w:rsidRDefault="007B5FF1" w:rsidP="009A2FFD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10</w:t>
            </w:r>
            <w:r w:rsidR="00A86E43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% maximum</w:t>
            </w:r>
          </w:p>
        </w:tc>
      </w:tr>
    </w:tbl>
    <w:p w14:paraId="2999FDA9" w14:textId="77777777" w:rsidR="00074D92" w:rsidRDefault="00074D92" w:rsidP="003C61C0">
      <w:pPr>
        <w:rPr>
          <w:i/>
          <w:sz w:val="20"/>
          <w:lang w:val="fr-FR"/>
        </w:rPr>
      </w:pPr>
    </w:p>
    <w:sectPr w:rsidR="00074D92" w:rsidSect="000E38BA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417" w:right="1417" w:bottom="1417" w:left="1417" w:header="708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CDF18" w14:textId="77777777" w:rsidR="005461D7" w:rsidRDefault="005461D7" w:rsidP="00833F73">
      <w:r>
        <w:separator/>
      </w:r>
    </w:p>
  </w:endnote>
  <w:endnote w:type="continuationSeparator" w:id="0">
    <w:p w14:paraId="2111ADD5" w14:textId="77777777" w:rsidR="005461D7" w:rsidRDefault="005461D7" w:rsidP="0083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8E39A" w14:textId="77777777" w:rsidR="00802945" w:rsidRDefault="00802945" w:rsidP="00B86C83">
    <w:pPr>
      <w:pStyle w:val="Default"/>
    </w:pPr>
  </w:p>
  <w:p w14:paraId="37B063F6" w14:textId="31C9ED2A" w:rsidR="00802945" w:rsidRDefault="00802945" w:rsidP="009E2E09">
    <w:pPr>
      <w:pStyle w:val="Default"/>
      <w:tabs>
        <w:tab w:val="left" w:pos="5610"/>
      </w:tabs>
      <w:rPr>
        <w:color w:val="auto"/>
      </w:rPr>
    </w:pPr>
  </w:p>
  <w:p w14:paraId="04F7A61E" w14:textId="6BD06967" w:rsidR="00802945" w:rsidRPr="00BA4802" w:rsidRDefault="00BA4802" w:rsidP="009E2E09">
    <w:pPr>
      <w:pStyle w:val="Pieddepage"/>
      <w:rPr>
        <w:rFonts w:ascii="Optima" w:hAnsi="Optima"/>
        <w:color w:val="404040"/>
        <w:sz w:val="16"/>
        <w:szCs w:val="16"/>
        <w:lang w:val="fr-FR"/>
      </w:rPr>
    </w:pPr>
    <w:r w:rsidRPr="00BA4802">
      <w:rPr>
        <w:rFonts w:ascii="Optima" w:hAnsi="Optima"/>
        <w:color w:val="404040"/>
        <w:sz w:val="16"/>
        <w:szCs w:val="16"/>
        <w:lang w:val="fr-FR"/>
      </w:rPr>
      <w:t xml:space="preserve">Maison des Entreprises – 10, Rue Jean-Jacques </w:t>
    </w:r>
    <w:proofErr w:type="spellStart"/>
    <w:r w:rsidRPr="00BA4802">
      <w:rPr>
        <w:rFonts w:ascii="Optima" w:hAnsi="Optima"/>
        <w:color w:val="404040"/>
        <w:sz w:val="16"/>
        <w:szCs w:val="16"/>
        <w:lang w:val="fr-FR"/>
      </w:rPr>
      <w:t>Fayel</w:t>
    </w:r>
    <w:proofErr w:type="spellEnd"/>
    <w:r w:rsidRPr="00BA4802">
      <w:rPr>
        <w:rFonts w:ascii="Optima" w:hAnsi="Optima"/>
        <w:color w:val="404040"/>
        <w:sz w:val="16"/>
        <w:szCs w:val="16"/>
        <w:lang w:val="fr-FR"/>
      </w:rPr>
      <w:t xml:space="preserve"> –</w:t>
    </w:r>
    <w:r>
      <w:rPr>
        <w:rFonts w:ascii="Optima" w:hAnsi="Optima"/>
        <w:color w:val="404040"/>
        <w:sz w:val="16"/>
        <w:szCs w:val="16"/>
        <w:lang w:val="fr-FR"/>
      </w:rPr>
      <w:t xml:space="preserve"> Concordia</w:t>
    </w:r>
    <w:r w:rsidR="00802945" w:rsidRPr="00BA4802">
      <w:rPr>
        <w:rFonts w:ascii="Optima" w:hAnsi="Optima"/>
        <w:color w:val="404040"/>
        <w:sz w:val="16"/>
        <w:szCs w:val="16"/>
        <w:lang w:val="fr-FR"/>
      </w:rPr>
      <w:t xml:space="preserve"> - 97150 Saint-Martin </w:t>
    </w:r>
  </w:p>
  <w:p w14:paraId="14BFC94C" w14:textId="48CA4343" w:rsidR="00802945" w:rsidRPr="009E2E09" w:rsidRDefault="00802945" w:rsidP="009E2E09">
    <w:pPr>
      <w:pStyle w:val="Pieddepage"/>
      <w:rPr>
        <w:rFonts w:ascii="Optima" w:hAnsi="Optima"/>
        <w:color w:val="404040"/>
        <w:sz w:val="16"/>
        <w:szCs w:val="16"/>
        <w:lang w:val="en-US"/>
      </w:rPr>
    </w:pPr>
    <w:proofErr w:type="spellStart"/>
    <w:r w:rsidRPr="009E2E09">
      <w:rPr>
        <w:rFonts w:ascii="Optima" w:hAnsi="Optima"/>
        <w:color w:val="404040"/>
        <w:sz w:val="16"/>
        <w:szCs w:val="16"/>
        <w:lang w:val="en-US"/>
      </w:rPr>
      <w:t>Tél</w:t>
    </w:r>
    <w:proofErr w:type="spellEnd"/>
    <w:proofErr w:type="gramStart"/>
    <w:r w:rsidRPr="009E2E09">
      <w:rPr>
        <w:rFonts w:ascii="Optima" w:hAnsi="Optima"/>
        <w:color w:val="404040"/>
        <w:sz w:val="16"/>
        <w:szCs w:val="16"/>
        <w:lang w:val="en-US"/>
      </w:rPr>
      <w:t>. :</w:t>
    </w:r>
    <w:proofErr w:type="gramEnd"/>
    <w:r w:rsidRPr="009E2E09">
      <w:rPr>
        <w:rFonts w:ascii="Optima" w:hAnsi="Optima"/>
        <w:color w:val="404040"/>
        <w:sz w:val="16"/>
        <w:szCs w:val="16"/>
        <w:lang w:val="en-US"/>
      </w:rPr>
      <w:t xml:space="preserve"> 05 90 52 83 62 - contact@initiative-saint-martin.fr </w:t>
    </w:r>
  </w:p>
  <w:p w14:paraId="1C9A34BD" w14:textId="77777777" w:rsidR="00802945" w:rsidRPr="00C80007" w:rsidRDefault="00802945" w:rsidP="009E2E09">
    <w:pPr>
      <w:pStyle w:val="Pieddepage"/>
      <w:rPr>
        <w:rFonts w:ascii="Optima" w:hAnsi="Optima"/>
        <w:sz w:val="16"/>
        <w:szCs w:val="16"/>
        <w:lang w:val="en-US"/>
      </w:rPr>
    </w:pPr>
    <w:r w:rsidRPr="00C80007">
      <w:rPr>
        <w:rFonts w:ascii="Optima" w:hAnsi="Optima"/>
        <w:color w:val="404040"/>
        <w:sz w:val="16"/>
        <w:szCs w:val="16"/>
        <w:lang w:val="en-US"/>
      </w:rPr>
      <w:t>www.initiative-saint-martin.fr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07D7F" w14:textId="77777777" w:rsidR="005461D7" w:rsidRDefault="005461D7" w:rsidP="00833F73">
      <w:r>
        <w:separator/>
      </w:r>
    </w:p>
  </w:footnote>
  <w:footnote w:type="continuationSeparator" w:id="0">
    <w:p w14:paraId="65EC4FBC" w14:textId="77777777" w:rsidR="005461D7" w:rsidRDefault="005461D7" w:rsidP="00833F73">
      <w:r>
        <w:continuationSeparator/>
      </w:r>
    </w:p>
  </w:footnote>
  <w:footnote w:id="1">
    <w:p w14:paraId="7CCA9EE8" w14:textId="23AAC469" w:rsidR="00AC7D5C" w:rsidRPr="00AC7D5C" w:rsidRDefault="00AC7D5C">
      <w:pPr>
        <w:pStyle w:val="Notedebasdepage"/>
        <w:rPr>
          <w:lang w:val="fr-FR"/>
        </w:rPr>
      </w:pPr>
    </w:p>
  </w:footnote>
  <w:footnote w:id="2">
    <w:p w14:paraId="0F50D6DA" w14:textId="353E2A67" w:rsidR="00AC7D5C" w:rsidRPr="00AC7D5C" w:rsidRDefault="00AC7D5C">
      <w:pPr>
        <w:pStyle w:val="Notedebasdepage"/>
        <w:rPr>
          <w:lang w:val="fr-FR"/>
        </w:rPr>
      </w:pPr>
    </w:p>
  </w:footnote>
  <w:footnote w:id="3">
    <w:p w14:paraId="6B21E303" w14:textId="68B9527A" w:rsidR="00AC7D5C" w:rsidRPr="00AC7D5C" w:rsidRDefault="00AC7D5C">
      <w:pPr>
        <w:pStyle w:val="Notedebasdepage"/>
        <w:rPr>
          <w:lang w:val="fr-FR"/>
        </w:rPr>
      </w:pPr>
    </w:p>
  </w:footnote>
  <w:footnote w:id="4">
    <w:p w14:paraId="655CFD76" w14:textId="15CC5B7D" w:rsidR="00AC7D5C" w:rsidRPr="00AC7D5C" w:rsidRDefault="00AC7D5C" w:rsidP="007B5FF1">
      <w:pPr>
        <w:rPr>
          <w:i/>
          <w:sz w:val="20"/>
          <w:lang w:val="fr-F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AB7CE" w14:textId="0B604560" w:rsidR="00802945" w:rsidRDefault="005461D7">
    <w:pPr>
      <w:pStyle w:val="En-tte"/>
    </w:pPr>
    <w:r>
      <w:rPr>
        <w:noProof/>
        <w:lang w:val="fr-FR"/>
      </w:rPr>
      <w:pict w14:anchorId="075229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6" type="#_x0000_t75" style="position:absolute;margin-left:0;margin-top:0;width:607.1pt;height:858.7pt;z-index:-251657216;mso-wrap-edited:f;mso-position-horizontal:center;mso-position-horizontal-relative:margin;mso-position-vertical:center;mso-position-vertical-relative:margin" wrapcoords="-26 0 -26 21562 21600 21562 21600 0 -26 0">
          <v:imagedata r:id="rId1" o:title="filigrane saint martin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E3615" w14:textId="5F83BEB5" w:rsidR="007B5FF1" w:rsidRDefault="007B5FF1" w:rsidP="007B5FF1">
    <w:pPr>
      <w:pStyle w:val="En-tte"/>
      <w:ind w:left="-567"/>
      <w:jc w:val="center"/>
      <w:rPr>
        <w:lang w:val="fr-FR"/>
      </w:rPr>
    </w:pPr>
    <w:r>
      <w:rPr>
        <w:noProof/>
      </w:rPr>
      <w:drawing>
        <wp:inline distT="0" distB="0" distL="0" distR="0" wp14:anchorId="1B29C4B5" wp14:editId="18F0BCFF">
          <wp:extent cx="3865546" cy="1120207"/>
          <wp:effectExtent l="0" t="0" r="1905" b="381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180" cy="1124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461D7">
      <w:rPr>
        <w:rFonts w:ascii="Optima" w:hAnsi="Optima"/>
        <w:noProof/>
        <w:sz w:val="44"/>
        <w:szCs w:val="44"/>
        <w:lang w:val="fr-FR"/>
      </w:rPr>
      <w:pict w14:anchorId="7C4C04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5" type="#_x0000_t75" style="position:absolute;left:0;text-align:left;margin-left:-76.9pt;margin-top:-71.85pt;width:607.1pt;height:858.7pt;z-index:-251658240;mso-wrap-edited:f;mso-position-horizontal-relative:margin;mso-position-vertical-relative:margin" wrapcoords="-26 0 -26 21562 21600 21562 21600 0 -26 0">
          <v:imagedata r:id="rId2" o:title="filigrane saint martin-01"/>
          <w10:wrap anchorx="margin" anchory="margin"/>
        </v:shape>
      </w:pict>
    </w:r>
  </w:p>
  <w:p w14:paraId="575754EB" w14:textId="77777777" w:rsidR="007B5FF1" w:rsidRDefault="007B5FF1" w:rsidP="00802945">
    <w:pPr>
      <w:pStyle w:val="En-tte"/>
      <w:ind w:left="-567"/>
      <w:rPr>
        <w:lang w:val="fr-FR"/>
      </w:rPr>
    </w:pPr>
  </w:p>
  <w:p w14:paraId="59B1073E" w14:textId="77777777" w:rsidR="007B5FF1" w:rsidRDefault="007B5FF1" w:rsidP="00802945">
    <w:pPr>
      <w:pStyle w:val="En-tte"/>
      <w:ind w:left="-567"/>
      <w:rPr>
        <w:lang w:val="fr-FR"/>
      </w:rPr>
    </w:pPr>
  </w:p>
  <w:p w14:paraId="2AB4086C" w14:textId="4C61A984" w:rsidR="00802945" w:rsidRPr="007B5FF1" w:rsidRDefault="003C61C0" w:rsidP="007B5FF1">
    <w:pPr>
      <w:pStyle w:val="En-tte"/>
      <w:ind w:left="-567"/>
      <w:jc w:val="center"/>
      <w:rPr>
        <w:rFonts w:ascii="Optima" w:hAnsi="Optima"/>
        <w:b/>
        <w:bCs/>
        <w:sz w:val="44"/>
        <w:szCs w:val="44"/>
        <w:lang w:val="fr-FR"/>
      </w:rPr>
    </w:pPr>
    <w:r w:rsidRPr="007B5FF1">
      <w:rPr>
        <w:rFonts w:ascii="Optima" w:hAnsi="Optima"/>
        <w:b/>
        <w:bCs/>
        <w:noProof/>
        <w:sz w:val="44"/>
        <w:szCs w:val="44"/>
        <w:lang w:val="fr-FR"/>
      </w:rPr>
      <w:t xml:space="preserve">Prêt d’honneur : </w:t>
    </w:r>
    <w:r w:rsidR="004853AF" w:rsidRPr="007B5FF1">
      <w:rPr>
        <w:rFonts w:ascii="Optima" w:hAnsi="Optima"/>
        <w:b/>
        <w:bCs/>
        <w:noProof/>
        <w:sz w:val="44"/>
        <w:szCs w:val="44"/>
        <w:lang w:val="fr-FR"/>
      </w:rPr>
      <w:t>Trésorerie Crise COVID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8EE2D" w14:textId="7618753A" w:rsidR="00802945" w:rsidRDefault="005461D7">
    <w:pPr>
      <w:pStyle w:val="En-tte"/>
    </w:pPr>
    <w:r>
      <w:rPr>
        <w:noProof/>
        <w:lang w:val="fr-FR"/>
      </w:rPr>
      <w:pict w14:anchorId="235621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7" type="#_x0000_t75" style="position:absolute;margin-left:0;margin-top:0;width:607.1pt;height:858.7pt;z-index:-251656192;mso-wrap-edited:f;mso-position-horizontal:center;mso-position-horizontal-relative:margin;mso-position-vertical:center;mso-position-vertical-relative:margin" wrapcoords="-26 0 -26 21562 21600 21562 21600 0 -26 0">
          <v:imagedata r:id="rId1" o:title="filigrane saint martin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35776"/>
    <w:multiLevelType w:val="hybridMultilevel"/>
    <w:tmpl w:val="DA0EE47A"/>
    <w:lvl w:ilvl="0" w:tplc="9A846840">
      <w:start w:val="1"/>
      <w:numFmt w:val="bullet"/>
      <w:lvlText w:val=""/>
      <w:lvlJc w:val="left"/>
      <w:pPr>
        <w:ind w:left="1216" w:hanging="360"/>
      </w:pPr>
      <w:rPr>
        <w:rFonts w:ascii="Symbol" w:hAnsi="Symbol" w:hint="default"/>
        <w:color w:val="0C3A85"/>
      </w:rPr>
    </w:lvl>
    <w:lvl w:ilvl="1" w:tplc="040C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6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6" w:hanging="360"/>
      </w:pPr>
      <w:rPr>
        <w:rFonts w:ascii="Symbol" w:hAnsi="Symbol" w:hint="default"/>
      </w:rPr>
    </w:lvl>
    <w:lvl w:ilvl="6" w:tplc="040C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6" w:hanging="360"/>
      </w:pPr>
      <w:rPr>
        <w:rFonts w:ascii="Symbol" w:hAnsi="Symbol" w:hint="default"/>
      </w:rPr>
    </w:lvl>
  </w:abstractNum>
  <w:abstractNum w:abstractNumId="1" w15:restartNumberingAfterBreak="0">
    <w:nsid w:val="15272D92"/>
    <w:multiLevelType w:val="hybridMultilevel"/>
    <w:tmpl w:val="EF7289C6"/>
    <w:lvl w:ilvl="0" w:tplc="EBD636BA">
      <w:start w:val="1"/>
      <w:numFmt w:val="bullet"/>
      <w:lvlText w:val=""/>
      <w:lvlJc w:val="left"/>
      <w:pPr>
        <w:ind w:left="1216" w:hanging="360"/>
      </w:pPr>
      <w:rPr>
        <w:rFonts w:ascii="Symbol" w:hAnsi="Symbol" w:hint="default"/>
        <w:color w:val="0C3A85"/>
      </w:rPr>
    </w:lvl>
    <w:lvl w:ilvl="1" w:tplc="040C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6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6" w:hanging="360"/>
      </w:pPr>
      <w:rPr>
        <w:rFonts w:ascii="Symbol" w:hAnsi="Symbol" w:hint="default"/>
      </w:rPr>
    </w:lvl>
    <w:lvl w:ilvl="6" w:tplc="040C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6" w:hanging="360"/>
      </w:pPr>
      <w:rPr>
        <w:rFonts w:ascii="Symbol" w:hAnsi="Symbol" w:hint="default"/>
      </w:rPr>
    </w:lvl>
  </w:abstractNum>
  <w:abstractNum w:abstractNumId="2" w15:restartNumberingAfterBreak="0">
    <w:nsid w:val="21D93C2E"/>
    <w:multiLevelType w:val="hybridMultilevel"/>
    <w:tmpl w:val="CBC4A2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A504F"/>
    <w:multiLevelType w:val="hybridMultilevel"/>
    <w:tmpl w:val="3BE672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13D28"/>
    <w:multiLevelType w:val="hybridMultilevel"/>
    <w:tmpl w:val="1632D898"/>
    <w:lvl w:ilvl="0" w:tplc="CA001C6C">
      <w:start w:val="1"/>
      <w:numFmt w:val="bullet"/>
      <w:lvlText w:val=""/>
      <w:lvlJc w:val="left"/>
      <w:pPr>
        <w:ind w:left="1216" w:hanging="360"/>
      </w:pPr>
      <w:rPr>
        <w:rFonts w:ascii="Symbol" w:hAnsi="Symbol" w:hint="default"/>
        <w:color w:val="0C3A85"/>
      </w:rPr>
    </w:lvl>
    <w:lvl w:ilvl="1" w:tplc="040C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6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6" w:hanging="360"/>
      </w:pPr>
      <w:rPr>
        <w:rFonts w:ascii="Symbol" w:hAnsi="Symbol" w:hint="default"/>
      </w:rPr>
    </w:lvl>
    <w:lvl w:ilvl="6" w:tplc="040C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6" w:hanging="360"/>
      </w:pPr>
      <w:rPr>
        <w:rFonts w:ascii="Symbol" w:hAnsi="Symbol" w:hint="default"/>
      </w:rPr>
    </w:lvl>
  </w:abstractNum>
  <w:abstractNum w:abstractNumId="5" w15:restartNumberingAfterBreak="0">
    <w:nsid w:val="351C228A"/>
    <w:multiLevelType w:val="hybridMultilevel"/>
    <w:tmpl w:val="C4580DDC"/>
    <w:lvl w:ilvl="0" w:tplc="2A52F1A0">
      <w:start w:val="1"/>
      <w:numFmt w:val="bullet"/>
      <w:lvlText w:val=""/>
      <w:lvlJc w:val="left"/>
      <w:pPr>
        <w:ind w:left="1216" w:hanging="360"/>
      </w:pPr>
      <w:rPr>
        <w:rFonts w:ascii="Symbol" w:hAnsi="Symbol" w:hint="default"/>
        <w:color w:val="0C3A85"/>
      </w:rPr>
    </w:lvl>
    <w:lvl w:ilvl="1" w:tplc="040C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6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6" w:hanging="360"/>
      </w:pPr>
      <w:rPr>
        <w:rFonts w:ascii="Symbol" w:hAnsi="Symbol" w:hint="default"/>
      </w:rPr>
    </w:lvl>
    <w:lvl w:ilvl="6" w:tplc="040C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6" w:hanging="360"/>
      </w:pPr>
      <w:rPr>
        <w:rFonts w:ascii="Symbol" w:hAnsi="Symbol" w:hint="default"/>
      </w:rPr>
    </w:lvl>
  </w:abstractNum>
  <w:abstractNum w:abstractNumId="6" w15:restartNumberingAfterBreak="0">
    <w:nsid w:val="60AF57FF"/>
    <w:multiLevelType w:val="hybridMultilevel"/>
    <w:tmpl w:val="4DB442E8"/>
    <w:lvl w:ilvl="0" w:tplc="40AA0764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  <w:color w:val="0C3A85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Symbol" w:hAnsi="Symbol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F73"/>
    <w:rsid w:val="00074D92"/>
    <w:rsid w:val="00082238"/>
    <w:rsid w:val="000A049D"/>
    <w:rsid w:val="000C4C86"/>
    <w:rsid w:val="000E38BA"/>
    <w:rsid w:val="00103624"/>
    <w:rsid w:val="001176C9"/>
    <w:rsid w:val="001224B9"/>
    <w:rsid w:val="0014646F"/>
    <w:rsid w:val="00187B6F"/>
    <w:rsid w:val="001C4530"/>
    <w:rsid w:val="001E5A1C"/>
    <w:rsid w:val="0029032F"/>
    <w:rsid w:val="002D6823"/>
    <w:rsid w:val="00304FF8"/>
    <w:rsid w:val="003C61C0"/>
    <w:rsid w:val="003E5E5B"/>
    <w:rsid w:val="003F11FC"/>
    <w:rsid w:val="00431FFE"/>
    <w:rsid w:val="00467E1C"/>
    <w:rsid w:val="004853AF"/>
    <w:rsid w:val="00487AD2"/>
    <w:rsid w:val="004B6614"/>
    <w:rsid w:val="004C7E11"/>
    <w:rsid w:val="005461D7"/>
    <w:rsid w:val="005D044F"/>
    <w:rsid w:val="006156FE"/>
    <w:rsid w:val="0068568B"/>
    <w:rsid w:val="006D2C23"/>
    <w:rsid w:val="006E4449"/>
    <w:rsid w:val="006F089B"/>
    <w:rsid w:val="007854F5"/>
    <w:rsid w:val="007A4AF3"/>
    <w:rsid w:val="007B5FF1"/>
    <w:rsid w:val="00801537"/>
    <w:rsid w:val="00802945"/>
    <w:rsid w:val="00833F73"/>
    <w:rsid w:val="008D3F8A"/>
    <w:rsid w:val="00956B4B"/>
    <w:rsid w:val="009A2FFD"/>
    <w:rsid w:val="009C1DB3"/>
    <w:rsid w:val="009E2E09"/>
    <w:rsid w:val="00A86E43"/>
    <w:rsid w:val="00A962E6"/>
    <w:rsid w:val="00A96567"/>
    <w:rsid w:val="00AC7D5C"/>
    <w:rsid w:val="00AD56C7"/>
    <w:rsid w:val="00B325C0"/>
    <w:rsid w:val="00B86C83"/>
    <w:rsid w:val="00BA4802"/>
    <w:rsid w:val="00BC005E"/>
    <w:rsid w:val="00BC4291"/>
    <w:rsid w:val="00C80007"/>
    <w:rsid w:val="00D527A3"/>
    <w:rsid w:val="00D929DF"/>
    <w:rsid w:val="00DC29CE"/>
    <w:rsid w:val="00DF6548"/>
    <w:rsid w:val="00EC208D"/>
    <w:rsid w:val="00ED2213"/>
    <w:rsid w:val="00F13AEE"/>
    <w:rsid w:val="00F57144"/>
    <w:rsid w:val="00F6641F"/>
    <w:rsid w:val="00F67F7E"/>
    <w:rsid w:val="00FF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8"/>
    <o:shapelayout v:ext="edit">
      <o:idmap v:ext="edit" data="1"/>
    </o:shapelayout>
  </w:shapeDefaults>
  <w:decimalSymbol w:val=","/>
  <w:listSeparator w:val=";"/>
  <w14:docId w14:val="66F9C3B2"/>
  <w14:defaultImageDpi w14:val="300"/>
  <w15:docId w15:val="{EB8AD615-EC33-4C39-BFC5-ADF5FAA7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956B4B"/>
    <w:pPr>
      <w:keepNext/>
      <w:outlineLvl w:val="0"/>
    </w:pPr>
    <w:rPr>
      <w:rFonts w:ascii="Times New Roman" w:eastAsia="Times New Roman" w:hAnsi="Times New Roman" w:cs="Times New Roman"/>
      <w:sz w:val="28"/>
      <w:szCs w:val="28"/>
      <w:lang w:val="fr-FR"/>
    </w:rPr>
  </w:style>
  <w:style w:type="paragraph" w:styleId="Titre2">
    <w:name w:val="heading 2"/>
    <w:basedOn w:val="Normal"/>
    <w:next w:val="Normal"/>
    <w:link w:val="Titre2Car"/>
    <w:qFormat/>
    <w:rsid w:val="00956B4B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8"/>
      <w:lang w:val="fr-FR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956B4B"/>
    <w:pPr>
      <w:spacing w:before="240" w:after="60"/>
      <w:outlineLvl w:val="6"/>
    </w:pPr>
    <w:rPr>
      <w:rFonts w:ascii="Calibri" w:eastAsia="Times New Roman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3F7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3F73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33F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3F73"/>
  </w:style>
  <w:style w:type="paragraph" w:styleId="Pieddepage">
    <w:name w:val="footer"/>
    <w:basedOn w:val="Normal"/>
    <w:link w:val="PieddepageCar"/>
    <w:unhideWhenUsed/>
    <w:rsid w:val="00833F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3F73"/>
  </w:style>
  <w:style w:type="paragraph" w:customStyle="1" w:styleId="Default">
    <w:name w:val="Default"/>
    <w:rsid w:val="00A962E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fr-FR"/>
    </w:rPr>
  </w:style>
  <w:style w:type="table" w:styleId="Grilledutableau">
    <w:name w:val="Table Grid"/>
    <w:basedOn w:val="TableauNormal"/>
    <w:rsid w:val="00467E1C"/>
    <w:rPr>
      <w:rFonts w:eastAsiaTheme="minorHAnsi"/>
      <w:lang w:val="fr-FR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rsid w:val="00467E1C"/>
    <w:rPr>
      <w:color w:val="0000FF" w:themeColor="hyperlink"/>
      <w:u w:val="single"/>
    </w:rPr>
  </w:style>
  <w:style w:type="paragraph" w:customStyle="1" w:styleId="Pa0">
    <w:name w:val="Pa0"/>
    <w:basedOn w:val="Normal"/>
    <w:uiPriority w:val="99"/>
    <w:rsid w:val="00467E1C"/>
    <w:pPr>
      <w:autoSpaceDE w:val="0"/>
      <w:autoSpaceDN w:val="0"/>
      <w:spacing w:line="241" w:lineRule="atLeast"/>
    </w:pPr>
    <w:rPr>
      <w:rFonts w:ascii="Helvetica 45 Light" w:eastAsiaTheme="minorHAnsi" w:hAnsi="Helvetica 45 Light" w:cs="Times New Roman"/>
      <w:lang w:val="fr-FR" w:eastAsia="en-US"/>
    </w:rPr>
  </w:style>
  <w:style w:type="character" w:customStyle="1" w:styleId="Titre1Car">
    <w:name w:val="Titre 1 Car"/>
    <w:basedOn w:val="Policepardfaut"/>
    <w:link w:val="Titre1"/>
    <w:rsid w:val="00956B4B"/>
    <w:rPr>
      <w:rFonts w:ascii="Times New Roman" w:eastAsia="Times New Roman" w:hAnsi="Times New Roman" w:cs="Times New Roman"/>
      <w:sz w:val="28"/>
      <w:szCs w:val="28"/>
      <w:lang w:val="fr-FR"/>
    </w:rPr>
  </w:style>
  <w:style w:type="character" w:customStyle="1" w:styleId="Titre2Car">
    <w:name w:val="Titre 2 Car"/>
    <w:basedOn w:val="Policepardfaut"/>
    <w:link w:val="Titre2"/>
    <w:rsid w:val="00956B4B"/>
    <w:rPr>
      <w:rFonts w:ascii="Times New Roman" w:eastAsia="Times New Roman" w:hAnsi="Times New Roman" w:cs="Times New Roman"/>
      <w:b/>
      <w:bCs/>
      <w:sz w:val="32"/>
      <w:szCs w:val="28"/>
      <w:lang w:val="fr-FR"/>
    </w:rPr>
  </w:style>
  <w:style w:type="character" w:customStyle="1" w:styleId="Titre7Car">
    <w:name w:val="Titre 7 Car"/>
    <w:basedOn w:val="Policepardfaut"/>
    <w:link w:val="Titre7"/>
    <w:semiHidden/>
    <w:rsid w:val="00956B4B"/>
    <w:rPr>
      <w:rFonts w:ascii="Calibri" w:eastAsia="Times New Roman" w:hAnsi="Calibri" w:cs="Times New Roman"/>
      <w:lang w:val="fr-FR"/>
    </w:rPr>
  </w:style>
  <w:style w:type="paragraph" w:styleId="Paragraphedeliste">
    <w:name w:val="List Paragraph"/>
    <w:basedOn w:val="Normal"/>
    <w:uiPriority w:val="34"/>
    <w:qFormat/>
    <w:rsid w:val="004C7E11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C7D5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C7D5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C7D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041973-ADE5-4120-99E7-EAC37A00E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449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</dc:creator>
  <cp:keywords/>
  <dc:description/>
  <cp:lastModifiedBy>Sabrina RIVERE</cp:lastModifiedBy>
  <cp:revision>2</cp:revision>
  <cp:lastPrinted>2014-09-15T16:09:00Z</cp:lastPrinted>
  <dcterms:created xsi:type="dcterms:W3CDTF">2020-04-07T19:10:00Z</dcterms:created>
  <dcterms:modified xsi:type="dcterms:W3CDTF">2020-04-07T19:10:00Z</dcterms:modified>
</cp:coreProperties>
</file>